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002C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0C96D6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037D84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EF2E87A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CD5AA6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C1B7356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t>2019-20, RAISING ATTAINMENT &amp; IMPROVING OUTCOMES FOR CHILDREN, YOUNG PEOPLE AND FAMILIES IN DUNDEE</w:t>
      </w:r>
    </w:p>
    <w:p w14:paraId="54248CB2" w14:textId="77777777" w:rsidR="00DA7574" w:rsidRPr="00DA7574" w:rsidRDefault="00DA7574" w:rsidP="00DA75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9367C6E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5053C9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This paper outlines the priorities for session 2019/20 contained within the Annual Children &amp; Families Service Plan and the recommendations highlighted in</w:t>
      </w:r>
      <w:r w:rsidR="002B4645">
        <w:rPr>
          <w:rFonts w:ascii="Arial" w:hAnsi="Arial" w:cs="Arial"/>
          <w:sz w:val="21"/>
          <w:szCs w:val="21"/>
        </w:rPr>
        <w:t xml:space="preserve"> the ILA of the SAC in Dundee (see Appendix ?)</w:t>
      </w:r>
    </w:p>
    <w:p w14:paraId="56AB3F54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A95648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Key messages include:</w:t>
      </w:r>
    </w:p>
    <w:p w14:paraId="355FB6B0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F05010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We must continue to raise attainment and close the gaps that exist across our schools </w:t>
      </w:r>
      <w:r w:rsidRPr="00DA7574">
        <w:rPr>
          <w:rFonts w:ascii="Arial" w:hAnsi="Arial" w:cs="Arial"/>
          <w:b/>
          <w:i/>
          <w:sz w:val="21"/>
          <w:szCs w:val="21"/>
        </w:rPr>
        <w:t>at pace</w:t>
      </w:r>
      <w:r w:rsidRPr="00DA7574">
        <w:rPr>
          <w:rFonts w:ascii="Arial" w:hAnsi="Arial" w:cs="Arial"/>
          <w:sz w:val="21"/>
          <w:szCs w:val="21"/>
        </w:rPr>
        <w:t xml:space="preserve">, </w:t>
      </w:r>
      <w:r w:rsidRPr="00DA7574">
        <w:rPr>
          <w:rFonts w:ascii="Arial" w:hAnsi="Arial" w:cs="Arial"/>
          <w:b/>
          <w:sz w:val="21"/>
          <w:szCs w:val="21"/>
        </w:rPr>
        <w:t>and with a sense of urgency</w:t>
      </w:r>
      <w:r w:rsidRPr="00DA7574">
        <w:rPr>
          <w:rFonts w:ascii="Arial" w:hAnsi="Arial" w:cs="Arial"/>
          <w:b/>
          <w:i/>
          <w:sz w:val="21"/>
          <w:szCs w:val="21"/>
        </w:rPr>
        <w:t>.</w:t>
      </w:r>
    </w:p>
    <w:p w14:paraId="253C434A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EE40AE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This is the core business of all Dundee schools and establishments.  There is no such thing in Dundee as a ‘non-attainment challenge school’.</w:t>
      </w:r>
    </w:p>
    <w:p w14:paraId="36342209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0A9069" w14:textId="77777777" w:rsidR="00DA7574" w:rsidRDefault="00DA7574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552B727" w14:textId="77777777" w:rsidR="002B4645" w:rsidRPr="00DA7574" w:rsidRDefault="002B4645" w:rsidP="00DA75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49370D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t>All Schools’ Improvement Plans will include the Key Messages/ Features / Actions specifically designed to improve outcomes for learners in each school:</w:t>
      </w:r>
    </w:p>
    <w:p w14:paraId="70D1A624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5DFAAAA" w14:textId="77777777" w:rsidR="00DA7574" w:rsidRDefault="00DA7574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60A31D3D" w14:textId="77777777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6CA5930F" w14:textId="77777777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2B4645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2AC267C0" wp14:editId="7F130125">
            <wp:extent cx="4929808" cy="36973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9917" cy="370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A7DA" w14:textId="77777777" w:rsidR="002B4645" w:rsidRDefault="002B4645" w:rsidP="00DA7574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6BBF2458" w14:textId="77777777" w:rsidR="00DA7574" w:rsidRPr="00DA7574" w:rsidRDefault="00DA7574" w:rsidP="00DA757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EE22F1E" w14:textId="77777777" w:rsidR="00DA7574" w:rsidRDefault="00DA7574" w:rsidP="00DA7574">
      <w:pPr>
        <w:sectPr w:rsidR="00DA7574" w:rsidSect="00367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5"/>
        <w:gridCol w:w="976"/>
        <w:gridCol w:w="3299"/>
        <w:gridCol w:w="714"/>
        <w:gridCol w:w="2631"/>
        <w:gridCol w:w="523"/>
        <w:gridCol w:w="954"/>
        <w:gridCol w:w="2296"/>
        <w:gridCol w:w="1290"/>
      </w:tblGrid>
      <w:tr w:rsidR="00007335" w:rsidRPr="004C16EA" w14:paraId="3656314F" w14:textId="77777777" w:rsidTr="000570CA">
        <w:tc>
          <w:tcPr>
            <w:tcW w:w="879" w:type="pct"/>
          </w:tcPr>
          <w:p w14:paraId="66366225" w14:textId="77777777" w:rsidR="00DA7574" w:rsidRPr="004C16EA" w:rsidRDefault="00DA7574" w:rsidP="009923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  <w:p w14:paraId="4F6013E3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33E7BB44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5C07E456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F9FC5" w14:textId="77777777" w:rsidR="00DA7574" w:rsidRPr="003D646D" w:rsidRDefault="00DA7574" w:rsidP="009923F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RAISING ATTAINMENT PLAN FOR SCHOOLS</w:t>
            </w:r>
          </w:p>
          <w:p w14:paraId="79310AF3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E09EE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234FE0D4" w14:textId="77777777" w:rsidR="00DA7574" w:rsidRPr="004C16EA" w:rsidRDefault="00DA7574" w:rsidP="00992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0F809" w14:textId="77777777" w:rsidR="00DA7574" w:rsidRPr="004C16EA" w:rsidRDefault="00DA7574" w:rsidP="00992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pct"/>
            <w:gridSpan w:val="5"/>
            <w:tcBorders>
              <w:right w:val="nil"/>
            </w:tcBorders>
          </w:tcPr>
          <w:p w14:paraId="6AE854FF" w14:textId="77777777" w:rsidR="00DA7574" w:rsidRDefault="00DA7574" w:rsidP="00992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1B1C5" w14:textId="77777777" w:rsidR="00DA7574" w:rsidRDefault="00DA7574" w:rsidP="009923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IMPROVEMENT/PRIORITY</w:t>
            </w:r>
          </w:p>
          <w:p w14:paraId="37DDCB94" w14:textId="77777777" w:rsidR="009F18BE" w:rsidRDefault="009F18BE" w:rsidP="009923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2D7ADBA" w14:textId="161B7222" w:rsidR="009F18BE" w:rsidRPr="003D646D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Leadership and Management</w:t>
            </w:r>
            <w:r w:rsidR="000570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475" w:type="pct"/>
            <w:gridSpan w:val="3"/>
            <w:tcBorders>
              <w:left w:val="nil"/>
            </w:tcBorders>
          </w:tcPr>
          <w:p w14:paraId="3730A4EB" w14:textId="77777777" w:rsidR="00DA7574" w:rsidRDefault="00DA7574" w:rsidP="00992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397DF" w14:textId="77777777" w:rsidR="00DA7574" w:rsidRPr="004C16EA" w:rsidRDefault="00007335" w:rsidP="00992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9AAEA" wp14:editId="660ED89A">
                  <wp:extent cx="2385394" cy="596348"/>
                  <wp:effectExtent l="0" t="0" r="0" b="0"/>
                  <wp:docPr id="3" name="Picture 3" descr="C:\Users\morag.mill\AppData\Local\Microsoft\Windows\Temporary Internet Files\Content.IE5\80NUEHSL\Children and Families 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orag.mill\AppData\Local\Microsoft\Windows\Temporary Internet Files\Content.IE5\80NUEHSL\Children and Families head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95" cy="60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7B" w:rsidRPr="004C16EA" w14:paraId="61F445DC" w14:textId="77777777" w:rsidTr="000570CA">
        <w:tc>
          <w:tcPr>
            <w:tcW w:w="879" w:type="pct"/>
          </w:tcPr>
          <w:p w14:paraId="23AE81BC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Specific Actions</w:t>
            </w:r>
          </w:p>
        </w:tc>
        <w:tc>
          <w:tcPr>
            <w:tcW w:w="317" w:type="pct"/>
          </w:tcPr>
          <w:p w14:paraId="78B3E18F" w14:textId="77777777" w:rsidR="00DA7574" w:rsidRDefault="00007335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27E12A1B" w14:textId="77777777" w:rsidR="00007335" w:rsidRPr="004C16EA" w:rsidRDefault="00007335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1072" w:type="pct"/>
          </w:tcPr>
          <w:p w14:paraId="04190ABB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232" w:type="pct"/>
          </w:tcPr>
          <w:p w14:paraId="4FBD4EE5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Lead Prof.</w:t>
            </w:r>
          </w:p>
        </w:tc>
        <w:tc>
          <w:tcPr>
            <w:tcW w:w="855" w:type="pct"/>
          </w:tcPr>
          <w:p w14:paraId="2C88926A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Expected Outcomes/Measurement tool(s) use to evidence change</w:t>
            </w:r>
          </w:p>
        </w:tc>
        <w:tc>
          <w:tcPr>
            <w:tcW w:w="480" w:type="pct"/>
            <w:gridSpan w:val="2"/>
          </w:tcPr>
          <w:p w14:paraId="0E65C394" w14:textId="77777777" w:rsidR="00DA7574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Progress Notes</w:t>
            </w:r>
          </w:p>
          <w:p w14:paraId="710CBAC9" w14:textId="77777777" w:rsidR="003E0765" w:rsidRDefault="003E0765" w:rsidP="003E07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6AFCD" w14:textId="63C71E28" w:rsidR="003E0765" w:rsidRPr="004C16EA" w:rsidRDefault="003E0765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(BRAG – December &amp; March</w:t>
            </w:r>
            <w:r w:rsidR="00B15888">
              <w:rPr>
                <w:rFonts w:ascii="Arial" w:hAnsi="Arial" w:cs="Arial"/>
                <w:b/>
                <w:sz w:val="20"/>
                <w:szCs w:val="20"/>
              </w:rPr>
              <w:t>, May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46" w:type="pct"/>
          </w:tcPr>
          <w:p w14:paraId="4E730BD6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419" w:type="pct"/>
          </w:tcPr>
          <w:p w14:paraId="2E99EBB5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</w:tr>
      <w:tr w:rsidR="0044077B" w:rsidRPr="004C16EA" w14:paraId="3F1EAA91" w14:textId="77777777" w:rsidTr="000570CA">
        <w:tc>
          <w:tcPr>
            <w:tcW w:w="879" w:type="pct"/>
          </w:tcPr>
          <w:p w14:paraId="7328F138" w14:textId="77777777" w:rsidR="00DA7574" w:rsidRPr="004C16EA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 VVA in line with Dundee’s aspiration/ambition to raise attainment</w:t>
            </w:r>
          </w:p>
        </w:tc>
        <w:tc>
          <w:tcPr>
            <w:tcW w:w="317" w:type="pct"/>
          </w:tcPr>
          <w:p w14:paraId="04BAEB8E" w14:textId="77777777" w:rsidR="00DA7574" w:rsidRPr="004C16EA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072" w:type="pct"/>
          </w:tcPr>
          <w:p w14:paraId="13A01CDA" w14:textId="77777777" w:rsidR="00474BA5" w:rsidRDefault="006D3250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The Vision Values and Aims of all schools must include promoting: Ambition, Aspiration, Expectations, Challenge (constant message from Dundee School Inspections – (our children are capable of much more)</w:t>
            </w:r>
          </w:p>
          <w:p w14:paraId="5169911C" w14:textId="007FA3DA" w:rsidR="00DA7574" w:rsidRDefault="006D3250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All practice across the school should directly link to Vision, Values, Aims and must be regularly re-visited</w:t>
            </w:r>
          </w:p>
          <w:p w14:paraId="55A0D497" w14:textId="77777777" w:rsidR="00A20AC8" w:rsidRPr="007325B6" w:rsidRDefault="00A20AC8" w:rsidP="006D32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25B6">
              <w:rPr>
                <w:rFonts w:ascii="Arial" w:hAnsi="Arial" w:cs="Arial"/>
                <w:sz w:val="20"/>
                <w:szCs w:val="20"/>
                <w:highlight w:val="yellow"/>
              </w:rPr>
              <w:t>Scripting</w:t>
            </w:r>
          </w:p>
          <w:p w14:paraId="304EB430" w14:textId="06C61EBE" w:rsidR="00A20AC8" w:rsidRPr="007325B6" w:rsidRDefault="00A20AC8" w:rsidP="00A20A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25B6">
              <w:rPr>
                <w:rFonts w:ascii="Arial" w:hAnsi="Arial" w:cs="Arial"/>
                <w:sz w:val="20"/>
                <w:szCs w:val="20"/>
                <w:highlight w:val="yellow"/>
              </w:rPr>
              <w:t>Consistency in approach to relationships/restorative practice</w:t>
            </w:r>
          </w:p>
          <w:p w14:paraId="799604DC" w14:textId="3A4DCE6F" w:rsidR="00A20AC8" w:rsidRPr="007325B6" w:rsidRDefault="00A20AC8" w:rsidP="00A20A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25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Community </w:t>
            </w:r>
            <w:r w:rsidR="007325B6" w:rsidRPr="007325B6">
              <w:rPr>
                <w:rFonts w:ascii="Arial" w:hAnsi="Arial" w:cs="Arial"/>
                <w:sz w:val="20"/>
                <w:szCs w:val="20"/>
                <w:highlight w:val="yellow"/>
              </w:rPr>
              <w:t>engagement in Vision, Values and Aims</w:t>
            </w:r>
          </w:p>
          <w:p w14:paraId="0E66586B" w14:textId="77777777" w:rsidR="0044077B" w:rsidRPr="004C16EA" w:rsidRDefault="0044077B" w:rsidP="006D3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075AAD02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14:paraId="3CABD8AE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14:paraId="27A45278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14:paraId="65FC9577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25FEE833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7B" w:rsidRPr="004C16EA" w14:paraId="028215B4" w14:textId="77777777" w:rsidTr="000570CA">
        <w:tc>
          <w:tcPr>
            <w:tcW w:w="879" w:type="pct"/>
          </w:tcPr>
          <w:p w14:paraId="168265CE" w14:textId="0B4561B6" w:rsidR="00DA7574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 planned robust self-evaluation procedures in relation to learning and teaching involving all stakeholders</w:t>
            </w:r>
          </w:p>
        </w:tc>
        <w:tc>
          <w:tcPr>
            <w:tcW w:w="317" w:type="pct"/>
          </w:tcPr>
          <w:p w14:paraId="23883D3F" w14:textId="77777777" w:rsidR="00DA7574" w:rsidRPr="004C16EA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(+2.3)</w:t>
            </w:r>
          </w:p>
        </w:tc>
        <w:tc>
          <w:tcPr>
            <w:tcW w:w="1072" w:type="pct"/>
          </w:tcPr>
          <w:p w14:paraId="3CA25036" w14:textId="59923164" w:rsidR="006D3250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D3250">
              <w:rPr>
                <w:rFonts w:ascii="Arial" w:hAnsi="Arial" w:cs="Arial"/>
                <w:sz w:val="20"/>
                <w:szCs w:val="20"/>
              </w:rPr>
              <w:t>All staff must improve understanding of the purpose of Self-evaluation for improvement</w:t>
            </w:r>
          </w:p>
          <w:p w14:paraId="39EBF58B" w14:textId="587D9FF2" w:rsidR="006D3250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D3250">
              <w:rPr>
                <w:rFonts w:ascii="Arial" w:hAnsi="Arial" w:cs="Arial"/>
                <w:sz w:val="20"/>
                <w:szCs w:val="20"/>
              </w:rPr>
              <w:lastRenderedPageBreak/>
              <w:t>Improve understanding of the link with CLPL and improved outcomes for learners</w:t>
            </w:r>
          </w:p>
          <w:p w14:paraId="2C37ABBD" w14:textId="666DDFDA" w:rsidR="006D3250" w:rsidRPr="00474BA5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Quality Assurance calendar must be a priority (often first thing that drops under pressure)</w:t>
            </w:r>
          </w:p>
          <w:p w14:paraId="6EC44E1E" w14:textId="20319F57" w:rsidR="006D3250" w:rsidRPr="00474BA5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Classrooms visits/observations -  focus on quality of learning and teaching</w:t>
            </w:r>
          </w:p>
          <w:p w14:paraId="7BF5DAA4" w14:textId="2ABA8AB9" w:rsidR="006D3250" w:rsidRPr="00474BA5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Consistency of school improvement plans</w:t>
            </w:r>
          </w:p>
          <w:p w14:paraId="21D1CEA0" w14:textId="5168A4F0" w:rsidR="006D3250" w:rsidRPr="00474BA5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Planned opportunities for sharing good practice</w:t>
            </w:r>
          </w:p>
          <w:p w14:paraId="08F08C25" w14:textId="76288BFC" w:rsidR="006D3250" w:rsidRPr="00474BA5" w:rsidRDefault="006D3250" w:rsidP="00474B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Detailed Tracking and monitoring throughout BGE in Primary and Secondary before and into the SP</w:t>
            </w:r>
          </w:p>
          <w:p w14:paraId="0F3D2DE1" w14:textId="77777777" w:rsidR="006D3250" w:rsidRPr="0044077B" w:rsidRDefault="006D3250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D3250">
              <w:rPr>
                <w:rFonts w:ascii="Arial" w:hAnsi="Arial" w:cs="Arial"/>
                <w:bCs/>
                <w:sz w:val="20"/>
                <w:szCs w:val="20"/>
              </w:rPr>
              <w:t>Planned regular discussion re tracking data at SLT / departmental / class teacher levels (see monitoring periods)</w:t>
            </w:r>
          </w:p>
          <w:p w14:paraId="3915BA53" w14:textId="77777777" w:rsidR="006D3250" w:rsidRPr="007325B6" w:rsidRDefault="006D3250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D3250">
              <w:rPr>
                <w:rFonts w:ascii="Arial" w:hAnsi="Arial" w:cs="Arial"/>
                <w:bCs/>
                <w:sz w:val="20"/>
                <w:szCs w:val="20"/>
              </w:rPr>
              <w:t>No discussion finishes without an action plan agreed (interventions), recorded and followed up!</w:t>
            </w:r>
          </w:p>
          <w:p w14:paraId="55F55BE7" w14:textId="1654BC9D" w:rsidR="007325B6" w:rsidRPr="00096451" w:rsidRDefault="007325B6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64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Good practice audit across the city (Dundee HGIOS) from extended review, CSV</w:t>
            </w:r>
            <w:r w:rsidR="000570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etc</w:t>
            </w:r>
          </w:p>
          <w:p w14:paraId="40D3961E" w14:textId="4BD49293" w:rsidR="007325B6" w:rsidRPr="00096451" w:rsidRDefault="007325B6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64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Director</w:t>
            </w:r>
            <w:r w:rsidR="000570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</w:t>
            </w:r>
            <w:r w:rsidRPr="000964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of Good Practice</w:t>
            </w:r>
          </w:p>
          <w:p w14:paraId="502F9C9A" w14:textId="6138A302" w:rsidR="00096451" w:rsidRPr="00096451" w:rsidRDefault="00096451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Practitioner toolkit to support classroom self-evaluation</w:t>
            </w:r>
          </w:p>
          <w:p w14:paraId="54D27B3C" w14:textId="57252F33" w:rsidR="00096451" w:rsidRPr="00096451" w:rsidRDefault="00096451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Example of high quality QA calendar</w:t>
            </w:r>
          </w:p>
          <w:p w14:paraId="55829D7D" w14:textId="6F61A4CD" w:rsidR="00DA7574" w:rsidRPr="00096451" w:rsidRDefault="000570CA" w:rsidP="006D32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Schools</w:t>
            </w:r>
            <w:r w:rsidR="000964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share working time agreements</w:t>
            </w:r>
          </w:p>
        </w:tc>
        <w:tc>
          <w:tcPr>
            <w:tcW w:w="232" w:type="pct"/>
          </w:tcPr>
          <w:p w14:paraId="0EE0ADEA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14:paraId="5C7C93E4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14:paraId="32428046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14:paraId="3C3FCD3B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76B11511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7B" w:rsidRPr="004C16EA" w14:paraId="4DFE6BD8" w14:textId="77777777" w:rsidTr="000570CA">
        <w:tc>
          <w:tcPr>
            <w:tcW w:w="879" w:type="pct"/>
          </w:tcPr>
          <w:p w14:paraId="53875CDA" w14:textId="6CD23891" w:rsidR="00DA7574" w:rsidRDefault="009F18BE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Increase/improve opportunities for learner voice/leadership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including implementation of “wee HGIOS”</w:t>
            </w:r>
          </w:p>
        </w:tc>
        <w:tc>
          <w:tcPr>
            <w:tcW w:w="317" w:type="pct"/>
          </w:tcPr>
          <w:p w14:paraId="0B01F576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pct"/>
          </w:tcPr>
          <w:p w14:paraId="39427AF9" w14:textId="77777777" w:rsidR="00474BA5" w:rsidRDefault="00A27514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27514">
              <w:rPr>
                <w:rFonts w:ascii="Arial" w:hAnsi="Arial" w:cs="Arial"/>
                <w:sz w:val="20"/>
                <w:szCs w:val="20"/>
              </w:rPr>
              <w:t>All schools use ‘wee HGIOS’ to embed learner voice and leadership across the school</w:t>
            </w:r>
          </w:p>
          <w:p w14:paraId="6DF10480" w14:textId="77777777" w:rsidR="00474BA5" w:rsidRDefault="00A27514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lastRenderedPageBreak/>
              <w:t xml:space="preserve">Communication/engagement with Parents </w:t>
            </w:r>
            <w:r w:rsidR="0044077B" w:rsidRPr="00474BA5">
              <w:rPr>
                <w:rFonts w:ascii="Arial" w:hAnsi="Arial" w:cs="Arial"/>
                <w:sz w:val="20"/>
                <w:szCs w:val="20"/>
              </w:rPr>
              <w:t>is tracked and monitored</w:t>
            </w:r>
            <w:r w:rsidRPr="00474BA5">
              <w:rPr>
                <w:rFonts w:ascii="Arial" w:hAnsi="Arial" w:cs="Arial"/>
                <w:sz w:val="20"/>
                <w:szCs w:val="20"/>
              </w:rPr>
              <w:t>- letters etc re tracking reports</w:t>
            </w:r>
          </w:p>
          <w:p w14:paraId="10FB1DA3" w14:textId="77777777" w:rsidR="00474BA5" w:rsidRDefault="00A27514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Motivation of young people</w:t>
            </w:r>
            <w:r w:rsidR="0044077B" w:rsidRPr="00474BA5">
              <w:rPr>
                <w:rFonts w:ascii="Arial" w:hAnsi="Arial" w:cs="Arial"/>
                <w:sz w:val="20"/>
                <w:szCs w:val="20"/>
              </w:rPr>
              <w:t xml:space="preserve"> – assemblies, PSE lessons etc</w:t>
            </w:r>
          </w:p>
          <w:p w14:paraId="0B911F36" w14:textId="0CACAE0A" w:rsidR="00DA7574" w:rsidRDefault="00A27514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Learner voice - Regular feedback from learners re quality of L&amp;T</w:t>
            </w:r>
          </w:p>
          <w:p w14:paraId="4285BDD3" w14:textId="6EFA73E7" w:rsidR="00F16D6A" w:rsidRPr="00F16D6A" w:rsidRDefault="000570CA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Included in</w:t>
            </w:r>
            <w:r w:rsidR="00F16D6A" w:rsidRPr="00F16D6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QA calendar</w:t>
            </w:r>
          </w:p>
          <w:p w14:paraId="5E1A8710" w14:textId="3AD887DA" w:rsidR="0044077B" w:rsidRPr="00F16D6A" w:rsidRDefault="00F16D6A" w:rsidP="00A275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6D6A">
              <w:rPr>
                <w:rFonts w:ascii="Arial" w:hAnsi="Arial" w:cs="Arial"/>
                <w:sz w:val="20"/>
                <w:szCs w:val="20"/>
                <w:highlight w:val="yellow"/>
              </w:rPr>
              <w:t>Young people “Leading Learning” eg taking part in department observations</w:t>
            </w:r>
          </w:p>
        </w:tc>
        <w:tc>
          <w:tcPr>
            <w:tcW w:w="232" w:type="pct"/>
          </w:tcPr>
          <w:p w14:paraId="3ABC6819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14:paraId="68F26783" w14:textId="3D25201D" w:rsidR="00782051" w:rsidRPr="004C16EA" w:rsidRDefault="00082400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Weekly learner focus groups data</w:t>
            </w:r>
          </w:p>
        </w:tc>
        <w:tc>
          <w:tcPr>
            <w:tcW w:w="480" w:type="pct"/>
            <w:gridSpan w:val="2"/>
          </w:tcPr>
          <w:p w14:paraId="367A0407" w14:textId="77777777" w:rsidR="00DA7574" w:rsidRPr="004C16EA" w:rsidRDefault="00DA7574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14:paraId="01F9488E" w14:textId="77777777" w:rsidR="00782051" w:rsidRPr="004C16EA" w:rsidRDefault="00782051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5361120D" w14:textId="77777777" w:rsidR="00DA7574" w:rsidRPr="004C16EA" w:rsidRDefault="00DA7574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7B" w:rsidRPr="004C16EA" w14:paraId="2B1E8C7A" w14:textId="77777777" w:rsidTr="000570CA">
        <w:tc>
          <w:tcPr>
            <w:tcW w:w="879" w:type="pct"/>
          </w:tcPr>
          <w:p w14:paraId="347C1643" w14:textId="03360B0D" w:rsidR="00AA3E3A" w:rsidRDefault="00AA3E3A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 city-wide revised robust processes in every school for </w:t>
            </w:r>
            <w:r w:rsidR="001E1946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se of data/analysis to monitor and track individual progress leading to improved outcomes (ref Insight; BGE; SEEMiS; SQA; track one system)</w:t>
            </w:r>
          </w:p>
        </w:tc>
        <w:tc>
          <w:tcPr>
            <w:tcW w:w="317" w:type="pct"/>
          </w:tcPr>
          <w:p w14:paraId="176EC52F" w14:textId="77777777" w:rsidR="00AA3E3A" w:rsidRPr="004C16EA" w:rsidRDefault="00816B5B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(1.1)</w:t>
            </w:r>
          </w:p>
        </w:tc>
        <w:tc>
          <w:tcPr>
            <w:tcW w:w="1072" w:type="pct"/>
          </w:tcPr>
          <w:p w14:paraId="0F8F626F" w14:textId="77777777" w:rsidR="00AA3E3A" w:rsidRDefault="006D3250" w:rsidP="006D32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27514">
              <w:rPr>
                <w:rFonts w:ascii="Arial" w:hAnsi="Arial" w:cs="Arial"/>
                <w:sz w:val="20"/>
                <w:szCs w:val="20"/>
              </w:rPr>
              <w:t>Data used to identify areas for improvement (throughout school at all levels)</w:t>
            </w:r>
          </w:p>
          <w:p w14:paraId="0F89F2CA" w14:textId="317D264E" w:rsidR="00082400" w:rsidRPr="00A27514" w:rsidRDefault="00082400" w:rsidP="000824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82400">
              <w:rPr>
                <w:rFonts w:ascii="Arial" w:hAnsi="Arial" w:cs="Arial"/>
                <w:sz w:val="20"/>
                <w:szCs w:val="20"/>
              </w:rPr>
              <w:t>Regular engagement in Benchmarking through use of all available tools and data, in particular BGE toolkit</w:t>
            </w:r>
          </w:p>
          <w:p w14:paraId="0AC0054F" w14:textId="77777777" w:rsidR="006D3250" w:rsidRPr="00A27514" w:rsidRDefault="006D3250" w:rsidP="006D32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514">
              <w:rPr>
                <w:rFonts w:ascii="Arial" w:hAnsi="Arial" w:cs="Arial"/>
                <w:sz w:val="20"/>
                <w:szCs w:val="20"/>
              </w:rPr>
              <w:t>All schools will use the agreed DCC approaches to review SQA results – ie format for class teachers, PTs, SLT link officer, HT and planned meetings September-October</w:t>
            </w:r>
          </w:p>
          <w:p w14:paraId="1FE09C53" w14:textId="77777777" w:rsidR="00A27514" w:rsidRDefault="00A27514" w:rsidP="00474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7514">
              <w:rPr>
                <w:rFonts w:ascii="Arial" w:hAnsi="Arial" w:cs="Arial"/>
                <w:sz w:val="20"/>
                <w:szCs w:val="20"/>
              </w:rPr>
              <w:t>Secondary presentation policy that errs on the side of cautious optimism, with clear procedures to change levels with all stakeholders involved</w:t>
            </w:r>
          </w:p>
          <w:p w14:paraId="29B3EE89" w14:textId="63296A56" w:rsidR="00F16D6A" w:rsidRPr="007905BF" w:rsidRDefault="00F16D6A" w:rsidP="00474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05BF">
              <w:rPr>
                <w:rFonts w:ascii="Arial" w:hAnsi="Arial" w:cs="Arial"/>
                <w:sz w:val="20"/>
                <w:szCs w:val="20"/>
                <w:highlight w:val="yellow"/>
              </w:rPr>
              <w:t>Improv</w:t>
            </w:r>
            <w:r w:rsidR="007905BF">
              <w:rPr>
                <w:rFonts w:ascii="Arial" w:hAnsi="Arial" w:cs="Arial"/>
                <w:sz w:val="20"/>
                <w:szCs w:val="20"/>
                <w:highlight w:val="yellow"/>
              </w:rPr>
              <w:t>ed</w:t>
            </w:r>
            <w:r w:rsidRPr="007905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understanding (across the school) of data and its ‘best’ use and ho</w:t>
            </w:r>
            <w:r w:rsidR="000570CA">
              <w:rPr>
                <w:rFonts w:ascii="Arial" w:hAnsi="Arial" w:cs="Arial"/>
                <w:sz w:val="20"/>
                <w:szCs w:val="20"/>
                <w:highlight w:val="yellow"/>
              </w:rPr>
              <w:t>w</w:t>
            </w:r>
            <w:r w:rsidRPr="007905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it links with Monitoring and Tracking</w:t>
            </w:r>
          </w:p>
          <w:p w14:paraId="4D9D5A51" w14:textId="77777777" w:rsidR="00F16D6A" w:rsidRPr="007905BF" w:rsidRDefault="00F16D6A" w:rsidP="00474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05BF">
              <w:rPr>
                <w:rFonts w:ascii="Arial" w:hAnsi="Arial" w:cs="Arial"/>
                <w:sz w:val="20"/>
                <w:szCs w:val="20"/>
                <w:highlight w:val="yellow"/>
              </w:rPr>
              <w:t>Target setting</w:t>
            </w:r>
          </w:p>
          <w:p w14:paraId="4236FDB2" w14:textId="77777777" w:rsidR="00F16D6A" w:rsidRPr="007905BF" w:rsidRDefault="00F16D6A" w:rsidP="00474B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05BF">
              <w:rPr>
                <w:rFonts w:ascii="Arial" w:hAnsi="Arial" w:cs="Arial"/>
                <w:sz w:val="20"/>
                <w:szCs w:val="20"/>
                <w:highlight w:val="yellow"/>
              </w:rPr>
              <w:t>Consisten</w:t>
            </w:r>
            <w:r w:rsidR="003A7B4A" w:rsidRPr="007905BF">
              <w:rPr>
                <w:rFonts w:ascii="Arial" w:hAnsi="Arial" w:cs="Arial"/>
                <w:sz w:val="20"/>
                <w:szCs w:val="20"/>
                <w:highlight w:val="yellow"/>
              </w:rPr>
              <w:t>t approach to Monitoring and Tracking ‘systems across the city.</w:t>
            </w:r>
          </w:p>
          <w:p w14:paraId="0675E474" w14:textId="1848097C" w:rsidR="003A7B4A" w:rsidRPr="000570CA" w:rsidRDefault="000570CA" w:rsidP="000570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3A7B4A" w:rsidRPr="000570C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Is there the need for a Monitoring and Tracking </w:t>
            </w:r>
            <w:r w:rsidR="007905BF" w:rsidRPr="000570C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template – BGE/Senior Phase</w:t>
            </w:r>
            <w:r w:rsidRPr="000570CA">
              <w:rPr>
                <w:rFonts w:ascii="Arial" w:hAnsi="Arial" w:cs="Arial"/>
                <w:sz w:val="20"/>
                <w:szCs w:val="20"/>
                <w:highlight w:val="yellow"/>
              </w:rPr>
              <w:t>?)</w:t>
            </w:r>
          </w:p>
        </w:tc>
        <w:tc>
          <w:tcPr>
            <w:tcW w:w="232" w:type="pct"/>
          </w:tcPr>
          <w:p w14:paraId="73C9FCCC" w14:textId="77777777" w:rsidR="00AA3E3A" w:rsidRPr="004C16EA" w:rsidRDefault="00AA3E3A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14:paraId="6A3DD564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SQA results</w:t>
            </w:r>
          </w:p>
          <w:p w14:paraId="6130513E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402F7" w14:textId="15A9914A" w:rsidR="00AA3E3A" w:rsidRPr="004C16EA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Dept Improvement Plan including specific priorities to raise attainment / close the gaps</w:t>
            </w:r>
          </w:p>
        </w:tc>
        <w:tc>
          <w:tcPr>
            <w:tcW w:w="480" w:type="pct"/>
            <w:gridSpan w:val="2"/>
          </w:tcPr>
          <w:p w14:paraId="7A228416" w14:textId="77777777" w:rsidR="00AA3E3A" w:rsidRPr="004C16EA" w:rsidRDefault="00AA3E3A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14:paraId="19322F57" w14:textId="13E79133" w:rsidR="00AA3E3A" w:rsidRPr="004C16EA" w:rsidRDefault="00082400" w:rsidP="009923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BGE Tracking/Insight/Time</w:t>
            </w:r>
          </w:p>
        </w:tc>
        <w:tc>
          <w:tcPr>
            <w:tcW w:w="419" w:type="pct"/>
          </w:tcPr>
          <w:p w14:paraId="354ECD16" w14:textId="35BA0A2D" w:rsidR="00AA3E3A" w:rsidRPr="004C16EA" w:rsidRDefault="00082400" w:rsidP="0099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2019</w:t>
            </w:r>
          </w:p>
        </w:tc>
      </w:tr>
      <w:bookmarkEnd w:id="0"/>
    </w:tbl>
    <w:p w14:paraId="4DFFE2BC" w14:textId="52AF6C35" w:rsidR="001E1946" w:rsidRDefault="001E194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930"/>
        <w:gridCol w:w="2183"/>
        <w:gridCol w:w="657"/>
        <w:gridCol w:w="6031"/>
        <w:gridCol w:w="190"/>
        <w:gridCol w:w="954"/>
        <w:gridCol w:w="1594"/>
        <w:gridCol w:w="1239"/>
      </w:tblGrid>
      <w:tr w:rsidR="00007335" w:rsidRPr="004C16EA" w14:paraId="1756DD94" w14:textId="77777777" w:rsidTr="000570CA">
        <w:tc>
          <w:tcPr>
            <w:tcW w:w="460" w:type="pct"/>
          </w:tcPr>
          <w:p w14:paraId="6CAA2BE6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2FC15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0B6D9044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054443FE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11F19" w14:textId="77777777" w:rsidR="00007335" w:rsidRPr="003D646D" w:rsidRDefault="00007335" w:rsidP="008825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RAISING ATTAINMENT PLAN FOR SCHOOLS</w:t>
            </w:r>
          </w:p>
          <w:p w14:paraId="0B42C1ED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64B49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4152ED1C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F30DA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pct"/>
            <w:gridSpan w:val="5"/>
            <w:tcBorders>
              <w:right w:val="nil"/>
            </w:tcBorders>
          </w:tcPr>
          <w:p w14:paraId="4FE1E154" w14:textId="77777777" w:rsidR="00007335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E2DF5" w14:textId="77777777" w:rsidR="00007335" w:rsidRDefault="00007335" w:rsidP="008825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IMPROVEMENT/PRIORITY</w:t>
            </w:r>
          </w:p>
          <w:p w14:paraId="1485CCB3" w14:textId="77777777" w:rsidR="009F18BE" w:rsidRDefault="009F18BE" w:rsidP="008825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C0AA772" w14:textId="77777777" w:rsidR="009F18BE" w:rsidRPr="003D646D" w:rsidRDefault="009F18BE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Learning Provision</w:t>
            </w:r>
          </w:p>
        </w:tc>
        <w:tc>
          <w:tcPr>
            <w:tcW w:w="1079" w:type="pct"/>
            <w:gridSpan w:val="3"/>
            <w:tcBorders>
              <w:left w:val="nil"/>
            </w:tcBorders>
          </w:tcPr>
          <w:p w14:paraId="6FC6B7FF" w14:textId="77777777" w:rsidR="00007335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DADF2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7EF00" wp14:editId="0B58B47C">
                  <wp:extent cx="2385394" cy="596348"/>
                  <wp:effectExtent l="0" t="0" r="0" b="0"/>
                  <wp:docPr id="4" name="Picture 4" descr="C:\Users\morag.mill\AppData\Local\Microsoft\Windows\Temporary Internet Files\Content.IE5\80NUEHSL\Children and Families 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orag.mill\AppData\Local\Microsoft\Windows\Temporary Internet Files\Content.IE5\80NUEHSL\Children and Families head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95" cy="60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35" w:rsidRPr="004C16EA" w14:paraId="138DBBF8" w14:textId="77777777" w:rsidTr="000570CA">
        <w:tc>
          <w:tcPr>
            <w:tcW w:w="460" w:type="pct"/>
          </w:tcPr>
          <w:p w14:paraId="7A7F473C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Specific Actions</w:t>
            </w:r>
          </w:p>
        </w:tc>
        <w:tc>
          <w:tcPr>
            <w:tcW w:w="264" w:type="pct"/>
          </w:tcPr>
          <w:p w14:paraId="7FDCCC25" w14:textId="77777777" w:rsidR="00007335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54909150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625" w:type="pct"/>
          </w:tcPr>
          <w:p w14:paraId="49239D3A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186" w:type="pct"/>
          </w:tcPr>
          <w:p w14:paraId="76539AE0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Lead Prof.</w:t>
            </w:r>
          </w:p>
        </w:tc>
        <w:tc>
          <w:tcPr>
            <w:tcW w:w="2335" w:type="pct"/>
          </w:tcPr>
          <w:p w14:paraId="0069774B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Expected Outcomes/Measurement tool(s) use to evidence change</w:t>
            </w:r>
          </w:p>
        </w:tc>
        <w:tc>
          <w:tcPr>
            <w:tcW w:w="322" w:type="pct"/>
            <w:gridSpan w:val="2"/>
          </w:tcPr>
          <w:p w14:paraId="69122BB8" w14:textId="77777777" w:rsidR="00007335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Progress Notes</w:t>
            </w:r>
          </w:p>
          <w:p w14:paraId="792429E1" w14:textId="77777777" w:rsidR="00007335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78483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(BRAG – December &amp; March)</w:t>
            </w:r>
          </w:p>
        </w:tc>
        <w:tc>
          <w:tcPr>
            <w:tcW w:w="455" w:type="pct"/>
          </w:tcPr>
          <w:p w14:paraId="4D538575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353" w:type="pct"/>
          </w:tcPr>
          <w:p w14:paraId="1833BAB0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</w:tr>
      <w:tr w:rsidR="00007335" w:rsidRPr="004C16EA" w14:paraId="13C09738" w14:textId="77777777" w:rsidTr="000570CA">
        <w:tc>
          <w:tcPr>
            <w:tcW w:w="460" w:type="pct"/>
          </w:tcPr>
          <w:p w14:paraId="3F70DE41" w14:textId="77777777" w:rsidR="00007335" w:rsidRPr="004C16EA" w:rsidRDefault="009F18BE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Ensure provision of high quality learning and teaching and learner engagement for all (feedback; differentiation; learners leading learning)</w:t>
            </w:r>
          </w:p>
        </w:tc>
        <w:tc>
          <w:tcPr>
            <w:tcW w:w="264" w:type="pct"/>
          </w:tcPr>
          <w:p w14:paraId="680B3030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25" w:type="pct"/>
          </w:tcPr>
          <w:p w14:paraId="540F3870" w14:textId="77777777" w:rsidR="00474BA5" w:rsidRDefault="00082400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="008D74CB" w:rsidRPr="00474BA5">
              <w:rPr>
                <w:rFonts w:ascii="Arial" w:hAnsi="Arial" w:cs="Arial"/>
                <w:sz w:val="20"/>
                <w:szCs w:val="20"/>
              </w:rPr>
              <w:t xml:space="preserve">Leaders of Learning, </w:t>
            </w:r>
            <w:r w:rsidRPr="00474BA5">
              <w:rPr>
                <w:rFonts w:ascii="Arial" w:hAnsi="Arial" w:cs="Arial"/>
                <w:sz w:val="20"/>
                <w:szCs w:val="20"/>
              </w:rPr>
              <w:t>Action Learning Sets</w:t>
            </w:r>
            <w:r w:rsidR="0044077B" w:rsidRPr="00474BA5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 w:rsidRPr="00474BA5">
              <w:rPr>
                <w:rFonts w:ascii="Arial" w:hAnsi="Arial" w:cs="Arial"/>
                <w:sz w:val="20"/>
                <w:szCs w:val="20"/>
              </w:rPr>
              <w:t>, Learning Rounds etc with focus on pedagogy and robust feedback/reflection</w:t>
            </w:r>
          </w:p>
          <w:p w14:paraId="63D61C4B" w14:textId="77777777" w:rsidR="00474BA5" w:rsidRDefault="00A27514" w:rsidP="00082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 xml:space="preserve">Challenge underperformance using DNCT and GTCS standards and procedures </w:t>
            </w:r>
          </w:p>
          <w:p w14:paraId="069F078D" w14:textId="77777777" w:rsidR="00474BA5" w:rsidRDefault="00082400" w:rsidP="00082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 xml:space="preserve">Engage support with HR earlier to </w:t>
            </w:r>
            <w:r w:rsidRPr="00474BA5">
              <w:rPr>
                <w:rFonts w:ascii="Arial" w:hAnsi="Arial" w:cs="Arial"/>
                <w:sz w:val="20"/>
                <w:szCs w:val="20"/>
              </w:rPr>
              <w:lastRenderedPageBreak/>
              <w:t>support staff absence</w:t>
            </w:r>
          </w:p>
          <w:p w14:paraId="13FAD4A5" w14:textId="77777777" w:rsidR="00007335" w:rsidRDefault="00082400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Engage support with HR earlier to support staff underperformance</w:t>
            </w:r>
          </w:p>
          <w:p w14:paraId="0FFECB8E" w14:textId="77777777" w:rsidR="00371563" w:rsidRPr="004015A4" w:rsidRDefault="00371563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5A4">
              <w:rPr>
                <w:rFonts w:ascii="Arial" w:hAnsi="Arial" w:cs="Arial"/>
                <w:sz w:val="20"/>
                <w:szCs w:val="20"/>
                <w:highlight w:val="yellow"/>
              </w:rPr>
              <w:t>Each school to have a clear LT+A policy</w:t>
            </w:r>
          </w:p>
          <w:p w14:paraId="46FE9B9B" w14:textId="77777777" w:rsidR="00371563" w:rsidRPr="004015A4" w:rsidRDefault="00371563" w:rsidP="00A275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5A4">
              <w:rPr>
                <w:rFonts w:ascii="Arial" w:hAnsi="Arial" w:cs="Arial"/>
                <w:sz w:val="20"/>
                <w:szCs w:val="20"/>
                <w:highlight w:val="yellow"/>
              </w:rPr>
              <w:t>Each school to adhere to an agreed Dundee Standard for Learning – including</w:t>
            </w:r>
          </w:p>
          <w:p w14:paraId="188BAB5A" w14:textId="1F353C22" w:rsidR="00371563" w:rsidRPr="004015A4" w:rsidRDefault="009A1A6A" w:rsidP="00371563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0A0D1" wp14:editId="6C41194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149640</wp:posOffset>
                      </wp:positionV>
                      <wp:extent cx="45719" cy="612250"/>
                      <wp:effectExtent l="0" t="0" r="31115" b="1651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22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AAF7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118.95pt;margin-top:11.8pt;width:3.6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" adj="134" strokecolor="black [3213]" strokeweight=".5pt">
                      <v:stroke joinstyle="miter"/>
                    </v:shape>
                  </w:pict>
                </mc:Fallback>
              </mc:AlternateContent>
            </w:r>
            <w:r w:rsidR="00371563" w:rsidRPr="004015A4">
              <w:rPr>
                <w:rFonts w:ascii="Arial" w:hAnsi="Arial" w:cs="Arial"/>
                <w:sz w:val="20"/>
                <w:szCs w:val="20"/>
                <w:highlight w:val="yellow"/>
              </w:rPr>
              <w:t>LI/SC employability/social skills</w:t>
            </w:r>
          </w:p>
          <w:p w14:paraId="7D0E4312" w14:textId="3E1A761C" w:rsidR="00371563" w:rsidRPr="004015A4" w:rsidRDefault="004015A4" w:rsidP="00371563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and</w:t>
            </w:r>
            <w:r w:rsidR="000570C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LTi</w:t>
            </w:r>
            <w:r w:rsidR="00371563" w:rsidRPr="004015A4">
              <w:rPr>
                <w:rFonts w:ascii="Arial" w:hAnsi="Arial" w:cs="Arial"/>
                <w:sz w:val="20"/>
                <w:szCs w:val="20"/>
                <w:highlight w:val="yellow"/>
              </w:rPr>
              <w:t>D/AifL</w:t>
            </w:r>
          </w:p>
          <w:p w14:paraId="4A863E17" w14:textId="5ED2AAAB" w:rsidR="00371563" w:rsidRPr="00371563" w:rsidRDefault="00371563" w:rsidP="003715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15A4">
              <w:rPr>
                <w:rFonts w:ascii="Arial" w:hAnsi="Arial" w:cs="Arial"/>
                <w:sz w:val="20"/>
                <w:szCs w:val="20"/>
                <w:highlight w:val="yellow"/>
              </w:rPr>
              <w:t>Co-operative learning</w:t>
            </w:r>
          </w:p>
        </w:tc>
        <w:tc>
          <w:tcPr>
            <w:tcW w:w="186" w:type="pct"/>
          </w:tcPr>
          <w:p w14:paraId="1B08C71C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pct"/>
          </w:tcPr>
          <w:p w14:paraId="55BEE96A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D60C0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5660A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861A2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628B8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4DC69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85925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0D8B4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63967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4C6E3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EBB39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13B7F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43D0B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6BAE4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CAC3F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4C94A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ACA6A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416A1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4FB53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A7B04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E1674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03D5A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E7E09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5FF07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58EA0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D7D38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9B92B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168C9" w14:textId="77777777" w:rsidR="009A1A6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B2CFA" w14:textId="0094EC53" w:rsidR="00007335" w:rsidRPr="004C16EA" w:rsidRDefault="009A1A6A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A6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3AEA0A" wp14:editId="595E8F5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A4639" w14:textId="70288FB1" w:rsidR="009A1A6A" w:rsidRPr="009A1A6A" w:rsidRDefault="009A1A6A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9A1A6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Training will be required through CLPL – shared CLPL between schools/city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3AEA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      <v:textbox style="mso-fit-shape-to-text:t">
                        <w:txbxContent>
                          <w:p w14:paraId="52EA4639" w14:textId="70288FB1" w:rsidR="009A1A6A" w:rsidRPr="009A1A6A" w:rsidRDefault="009A1A6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A1A6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Training will be required through CLPL – shared CLPL between schools/city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" w:type="pct"/>
            <w:gridSpan w:val="2"/>
          </w:tcPr>
          <w:p w14:paraId="1F894851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70A80891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795D84E7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335" w:rsidRPr="004C16EA" w14:paraId="2CB1EE56" w14:textId="77777777" w:rsidTr="000570CA">
        <w:tc>
          <w:tcPr>
            <w:tcW w:w="460" w:type="pct"/>
          </w:tcPr>
          <w:p w14:paraId="5E75F836" w14:textId="30A47129" w:rsidR="00007335" w:rsidRDefault="009F18BE" w:rsidP="004931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Provision of </w:t>
            </w:r>
            <w:r w:rsidR="00493182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engaging and exciting BGE which </w:t>
            </w:r>
            <w:r w:rsidR="00493182">
              <w:rPr>
                <w:rFonts w:ascii="Arial" w:hAnsi="Arial" w:cs="Arial"/>
                <w:b/>
                <w:sz w:val="20"/>
                <w:szCs w:val="20"/>
              </w:rPr>
              <w:t xml:space="preserve">provides learner pathways through to the SP and beyond and meets the needs of all learners,  developing the Skills for learning, life and work </w:t>
            </w:r>
            <w:r w:rsidR="00A27514">
              <w:rPr>
                <w:rFonts w:ascii="Arial" w:hAnsi="Arial" w:cs="Arial"/>
                <w:b/>
                <w:sz w:val="20"/>
                <w:szCs w:val="20"/>
              </w:rPr>
              <w:t>(Primary Driver 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 senior phase,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shift away from “courses” S1-S3)</w:t>
            </w:r>
          </w:p>
        </w:tc>
        <w:tc>
          <w:tcPr>
            <w:tcW w:w="264" w:type="pct"/>
          </w:tcPr>
          <w:p w14:paraId="6EC02AA6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625" w:type="pct"/>
          </w:tcPr>
          <w:p w14:paraId="5D3105E2" w14:textId="52A8C867" w:rsidR="00007335" w:rsidRPr="00474BA5" w:rsidRDefault="00A27514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All schools will have a clear curriculum rationale</w:t>
            </w:r>
          </w:p>
          <w:p w14:paraId="3CBB9860" w14:textId="301CF0F5" w:rsidR="00A27514" w:rsidRPr="00474BA5" w:rsidRDefault="00A27514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Get rid of all ‘dead time’ in the curriculum / school day</w:t>
            </w:r>
          </w:p>
          <w:p w14:paraId="1BAD2444" w14:textId="77777777" w:rsidR="00A27514" w:rsidRPr="009A1A6A" w:rsidRDefault="00A27514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Differentiation in all classes</w:t>
            </w:r>
          </w:p>
          <w:p w14:paraId="03D17C96" w14:textId="5C55189F" w:rsidR="009A1A6A" w:rsidRPr="00474BA5" w:rsidRDefault="009A1A6A" w:rsidP="00474B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AC8">
              <w:rPr>
                <w:rFonts w:ascii="Arial" w:hAnsi="Arial" w:cs="Arial"/>
                <w:sz w:val="20"/>
                <w:szCs w:val="20"/>
                <w:highlight w:val="yellow"/>
              </w:rPr>
              <w:t>Parental accountability?</w:t>
            </w:r>
          </w:p>
        </w:tc>
        <w:tc>
          <w:tcPr>
            <w:tcW w:w="186" w:type="pct"/>
          </w:tcPr>
          <w:p w14:paraId="16A53493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pct"/>
          </w:tcPr>
          <w:p w14:paraId="5ADEBA13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14:paraId="2D956077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56A28ED8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354ED79A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335" w:rsidRPr="004C16EA" w14:paraId="77F91520" w14:textId="77777777" w:rsidTr="000570CA">
        <w:tc>
          <w:tcPr>
            <w:tcW w:w="460" w:type="pct"/>
          </w:tcPr>
          <w:p w14:paraId="41112658" w14:textId="544DC21D" w:rsidR="00007335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strategic implementation of moderation arrangements across stages and curriculum</w:t>
            </w:r>
            <w:r w:rsidR="00082400">
              <w:rPr>
                <w:rFonts w:ascii="Arial" w:hAnsi="Arial" w:cs="Arial"/>
                <w:b/>
                <w:sz w:val="20"/>
                <w:szCs w:val="20"/>
              </w:rPr>
              <w:t xml:space="preserve"> throughout the session</w:t>
            </w:r>
          </w:p>
        </w:tc>
        <w:tc>
          <w:tcPr>
            <w:tcW w:w="264" w:type="pct"/>
          </w:tcPr>
          <w:p w14:paraId="49F8D449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10D608A" w14:textId="55A57AA7" w:rsidR="00007335" w:rsidRPr="00C22B38" w:rsidRDefault="006D3250" w:rsidP="00C22B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Regular moderation as a priority throughout the year as per The DCC Moderation Strategy</w:t>
            </w:r>
            <w:r w:rsidR="00C22B3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22B38">
              <w:rPr>
                <w:rFonts w:ascii="Arial" w:hAnsi="Arial" w:cs="Arial"/>
                <w:sz w:val="20"/>
                <w:szCs w:val="20"/>
              </w:rPr>
              <w:t>(Therefore planned into collegiate time, In-set days and WTAs)</w:t>
            </w:r>
          </w:p>
          <w:p w14:paraId="293D711D" w14:textId="0F4B1684" w:rsidR="00A27514" w:rsidRPr="00474BA5" w:rsidRDefault="00A27514" w:rsidP="00474B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BA5">
              <w:rPr>
                <w:rFonts w:ascii="Arial" w:hAnsi="Arial" w:cs="Arial"/>
                <w:sz w:val="20"/>
                <w:szCs w:val="20"/>
              </w:rPr>
              <w:t>Focus on Transitions – throughout</w:t>
            </w:r>
          </w:p>
        </w:tc>
        <w:tc>
          <w:tcPr>
            <w:tcW w:w="186" w:type="pct"/>
          </w:tcPr>
          <w:p w14:paraId="35293D6D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pct"/>
          </w:tcPr>
          <w:p w14:paraId="0A265AEA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14:paraId="7C7A6E17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7FDE5333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" w:type="pct"/>
          </w:tcPr>
          <w:p w14:paraId="0F2ACCA2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AC6842" w14:textId="77777777" w:rsidR="001E1946" w:rsidRDefault="001E194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6"/>
        <w:gridCol w:w="976"/>
        <w:gridCol w:w="2714"/>
        <w:gridCol w:w="1114"/>
        <w:gridCol w:w="2958"/>
        <w:gridCol w:w="622"/>
        <w:gridCol w:w="1000"/>
        <w:gridCol w:w="1683"/>
        <w:gridCol w:w="1305"/>
      </w:tblGrid>
      <w:tr w:rsidR="00007335" w:rsidRPr="004C16EA" w14:paraId="5F672DE1" w14:textId="77777777" w:rsidTr="000570CA">
        <w:tc>
          <w:tcPr>
            <w:tcW w:w="980" w:type="pct"/>
          </w:tcPr>
          <w:p w14:paraId="56287ABA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907BC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Dundee City Council</w:t>
            </w:r>
          </w:p>
          <w:p w14:paraId="11AAB328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Children and Families Service</w:t>
            </w:r>
          </w:p>
          <w:p w14:paraId="5CA7C2AC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422B8" w14:textId="77777777" w:rsidR="00007335" w:rsidRPr="003D646D" w:rsidRDefault="00007335" w:rsidP="008825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RAISING ATTAINMENT PLAN FOR SCHOOLS</w:t>
            </w:r>
          </w:p>
          <w:p w14:paraId="0D14A558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7D2CB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Session 2019/20</w:t>
            </w:r>
          </w:p>
          <w:p w14:paraId="68FEADEE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36ACA" w14:textId="77777777" w:rsidR="00007335" w:rsidRPr="004C16EA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pct"/>
            <w:gridSpan w:val="5"/>
            <w:tcBorders>
              <w:right w:val="nil"/>
            </w:tcBorders>
          </w:tcPr>
          <w:p w14:paraId="3A048D5E" w14:textId="77777777" w:rsidR="00007335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01BA6" w14:textId="77777777" w:rsidR="00007335" w:rsidRDefault="00007335" w:rsidP="008825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646D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IMPROVEMENT/PRIORITY</w:t>
            </w:r>
          </w:p>
          <w:p w14:paraId="0E219A9B" w14:textId="77777777" w:rsidR="00816B5B" w:rsidRDefault="00816B5B" w:rsidP="008825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A34E3FB" w14:textId="77777777" w:rsidR="00816B5B" w:rsidRPr="003D646D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Successes and Achievements</w:t>
            </w:r>
          </w:p>
        </w:tc>
        <w:tc>
          <w:tcPr>
            <w:tcW w:w="1296" w:type="pct"/>
            <w:gridSpan w:val="3"/>
            <w:tcBorders>
              <w:left w:val="nil"/>
            </w:tcBorders>
          </w:tcPr>
          <w:p w14:paraId="1A1AEC74" w14:textId="77777777" w:rsidR="00007335" w:rsidRDefault="00007335" w:rsidP="00882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DD092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10B896" wp14:editId="4D862D88">
                  <wp:extent cx="2385394" cy="596348"/>
                  <wp:effectExtent l="0" t="0" r="0" b="0"/>
                  <wp:docPr id="5" name="Picture 5" descr="C:\Users\morag.mill\AppData\Local\Microsoft\Windows\Temporary Internet Files\Content.IE5\80NUEHSL\Children and Families h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orag.mill\AppData\Local\Microsoft\Windows\Temporary Internet Files\Content.IE5\80NUEHSL\Children and Families head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95" cy="60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335" w:rsidRPr="004C16EA" w14:paraId="700742D8" w14:textId="77777777" w:rsidTr="000570CA">
        <w:tc>
          <w:tcPr>
            <w:tcW w:w="980" w:type="pct"/>
          </w:tcPr>
          <w:p w14:paraId="1457FD76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Specific Actions</w:t>
            </w:r>
          </w:p>
        </w:tc>
        <w:tc>
          <w:tcPr>
            <w:tcW w:w="317" w:type="pct"/>
          </w:tcPr>
          <w:p w14:paraId="0EA360DA" w14:textId="77777777" w:rsidR="00007335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</w:t>
            </w:r>
          </w:p>
          <w:p w14:paraId="2CC73B87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QIs</w:t>
            </w:r>
          </w:p>
        </w:tc>
        <w:tc>
          <w:tcPr>
            <w:tcW w:w="882" w:type="pct"/>
          </w:tcPr>
          <w:p w14:paraId="72436396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362" w:type="pct"/>
          </w:tcPr>
          <w:p w14:paraId="1E505E84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Lead Prof.</w:t>
            </w:r>
          </w:p>
        </w:tc>
        <w:tc>
          <w:tcPr>
            <w:tcW w:w="961" w:type="pct"/>
          </w:tcPr>
          <w:p w14:paraId="0C46AC86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Expected Outcomes/Measurement tool(s) use to evidence change</w:t>
            </w:r>
          </w:p>
        </w:tc>
        <w:tc>
          <w:tcPr>
            <w:tcW w:w="527" w:type="pct"/>
            <w:gridSpan w:val="2"/>
          </w:tcPr>
          <w:p w14:paraId="0E55377F" w14:textId="77777777" w:rsidR="00007335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Progress Notes</w:t>
            </w:r>
          </w:p>
          <w:p w14:paraId="763EBA0E" w14:textId="77777777" w:rsidR="00007335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4B0C2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(BRAG – December &amp; March)</w:t>
            </w:r>
          </w:p>
        </w:tc>
        <w:tc>
          <w:tcPr>
            <w:tcW w:w="547" w:type="pct"/>
          </w:tcPr>
          <w:p w14:paraId="1AADDE1E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424" w:type="pct"/>
          </w:tcPr>
          <w:p w14:paraId="1B2EDDFF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6EA">
              <w:rPr>
                <w:rFonts w:ascii="Arial" w:hAnsi="Arial" w:cs="Arial"/>
                <w:b/>
                <w:sz w:val="20"/>
                <w:szCs w:val="20"/>
              </w:rPr>
              <w:t>Timescale</w:t>
            </w:r>
          </w:p>
        </w:tc>
      </w:tr>
      <w:tr w:rsidR="00007335" w:rsidRPr="004C16EA" w14:paraId="6172CC05" w14:textId="77777777" w:rsidTr="000570CA">
        <w:tc>
          <w:tcPr>
            <w:tcW w:w="980" w:type="pct"/>
          </w:tcPr>
          <w:p w14:paraId="619C560C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Fully implement robust assessment and planning processes for wellbeing in line with National Practice Model (GIRFEC)</w:t>
            </w:r>
          </w:p>
        </w:tc>
        <w:tc>
          <w:tcPr>
            <w:tcW w:w="317" w:type="pct"/>
          </w:tcPr>
          <w:p w14:paraId="459DF4AF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882" w:type="pct"/>
          </w:tcPr>
          <w:p w14:paraId="57C0ADBF" w14:textId="77777777" w:rsidR="00A27514" w:rsidRPr="004C16EA" w:rsidRDefault="00A27514" w:rsidP="00A27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65FDE" w14:textId="77777777" w:rsidR="00007335" w:rsidRPr="004C16EA" w:rsidRDefault="00007335" w:rsidP="00A27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" w:type="pct"/>
          </w:tcPr>
          <w:p w14:paraId="5C287534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</w:tcPr>
          <w:p w14:paraId="17253684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9A92BA4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14:paraId="39FBE335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0F483DAD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335" w:rsidRPr="004C16EA" w14:paraId="2169F424" w14:textId="77777777" w:rsidTr="000570CA">
        <w:tc>
          <w:tcPr>
            <w:tcW w:w="980" w:type="pct"/>
          </w:tcPr>
          <w:p w14:paraId="0C09C22C" w14:textId="77777777" w:rsidR="00007335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Embed/implement Nurture Approaches Framework across the whole school (with reference to Restorative Approaches)</w:t>
            </w:r>
          </w:p>
        </w:tc>
        <w:tc>
          <w:tcPr>
            <w:tcW w:w="317" w:type="pct"/>
          </w:tcPr>
          <w:p w14:paraId="6D6ACA1A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882" w:type="pct"/>
          </w:tcPr>
          <w:p w14:paraId="34D84986" w14:textId="485F3667" w:rsidR="006D3250" w:rsidRPr="00C22B38" w:rsidRDefault="006D3250" w:rsidP="00C22B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All schools will be working towards becoming a ‘Nurturing School’</w:t>
            </w:r>
          </w:p>
          <w:p w14:paraId="1A36035A" w14:textId="77777777" w:rsidR="00C22B38" w:rsidRDefault="006D3250" w:rsidP="0008240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All schools will develop Alternatives to Exclusion policies</w:t>
            </w:r>
          </w:p>
          <w:p w14:paraId="2DA81BB7" w14:textId="77777777" w:rsidR="00C22B38" w:rsidRDefault="00082400" w:rsidP="0008240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Regular review of pupil absence with interventions identified for targeted individuals and groups</w:t>
            </w:r>
          </w:p>
          <w:p w14:paraId="4694FF23" w14:textId="77777777" w:rsidR="00C22B38" w:rsidRDefault="00082400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Regular review of pupil exclusions with interventions identified for targeted individuals and groups</w:t>
            </w:r>
          </w:p>
          <w:p w14:paraId="10E6AFAA" w14:textId="77777777" w:rsidR="00C22B38" w:rsidRDefault="006D3250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UNCRC/RRS should be developed</w:t>
            </w:r>
          </w:p>
          <w:p w14:paraId="33E38D53" w14:textId="77777777" w:rsidR="00C22B38" w:rsidRDefault="006D3250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lastRenderedPageBreak/>
              <w:t>Shift focus to Relationships Policies from behaviour/ discipline focus</w:t>
            </w:r>
          </w:p>
          <w:p w14:paraId="472F9F85" w14:textId="3BB18086" w:rsidR="00007335" w:rsidRPr="00C22B38" w:rsidRDefault="006D3250" w:rsidP="006D32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Restorative practices developed to resolve conflict/disruption/return from exclusion</w:t>
            </w:r>
          </w:p>
        </w:tc>
        <w:tc>
          <w:tcPr>
            <w:tcW w:w="362" w:type="pct"/>
          </w:tcPr>
          <w:p w14:paraId="09079A4B" w14:textId="7FBCE526" w:rsidR="00007335" w:rsidRPr="004C16EA" w:rsidRDefault="00082400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lastRenderedPageBreak/>
              <w:t>DHT support</w:t>
            </w:r>
            <w:r w:rsidRPr="0008240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61" w:type="pct"/>
          </w:tcPr>
          <w:p w14:paraId="6AFD75BE" w14:textId="53F5A3E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Improved relationships</w:t>
            </w:r>
          </w:p>
          <w:p w14:paraId="189AEA58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Less disruption to L&amp;T</w:t>
            </w:r>
          </w:p>
          <w:p w14:paraId="0A1CF03D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Fewer exclusions/referrals</w:t>
            </w:r>
          </w:p>
          <w:p w14:paraId="13390577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 xml:space="preserve">Improved attendance </w:t>
            </w:r>
          </w:p>
          <w:p w14:paraId="03B6F515" w14:textId="0D936DA4" w:rsidR="00007335" w:rsidRPr="004C16EA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Improved attainment</w:t>
            </w:r>
          </w:p>
        </w:tc>
        <w:tc>
          <w:tcPr>
            <w:tcW w:w="527" w:type="pct"/>
            <w:gridSpan w:val="2"/>
          </w:tcPr>
          <w:p w14:paraId="1CE4E532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14:paraId="07E9668D" w14:textId="77777777" w:rsidR="00082400" w:rsidRPr="00082400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Collegiate time</w:t>
            </w:r>
          </w:p>
          <w:p w14:paraId="14397C58" w14:textId="200FDFA1" w:rsidR="00007335" w:rsidRPr="004C16EA" w:rsidRDefault="00082400" w:rsidP="00082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400">
              <w:rPr>
                <w:rFonts w:ascii="Arial" w:hAnsi="Arial" w:cs="Arial"/>
                <w:b/>
                <w:sz w:val="20"/>
                <w:szCs w:val="20"/>
              </w:rPr>
              <w:t>Working group</w:t>
            </w:r>
          </w:p>
        </w:tc>
        <w:tc>
          <w:tcPr>
            <w:tcW w:w="424" w:type="pct"/>
          </w:tcPr>
          <w:p w14:paraId="7C63F2E3" w14:textId="1C02E401" w:rsidR="00007335" w:rsidRPr="004C16EA" w:rsidRDefault="00082400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year plan</w:t>
            </w:r>
          </w:p>
        </w:tc>
      </w:tr>
      <w:tr w:rsidR="00007335" w:rsidRPr="004C16EA" w14:paraId="0CED1008" w14:textId="77777777" w:rsidTr="000570CA">
        <w:tc>
          <w:tcPr>
            <w:tcW w:w="980" w:type="pct"/>
          </w:tcPr>
          <w:p w14:paraId="78C7BE59" w14:textId="627EA013" w:rsidR="00007335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robust processes for use of data/analysis to monitor and track individual progress leading to improved outcomes</w:t>
            </w:r>
            <w:r w:rsidR="00B52081">
              <w:rPr>
                <w:rFonts w:ascii="Arial" w:hAnsi="Arial" w:cs="Arial"/>
                <w:b/>
                <w:sz w:val="20"/>
                <w:szCs w:val="20"/>
              </w:rPr>
              <w:t xml:space="preserve"> (including attainment, achievement, attendance, exclusions)</w:t>
            </w:r>
          </w:p>
        </w:tc>
        <w:tc>
          <w:tcPr>
            <w:tcW w:w="317" w:type="pct"/>
          </w:tcPr>
          <w:p w14:paraId="21DE6228" w14:textId="77777777" w:rsidR="00007335" w:rsidRPr="004C16EA" w:rsidRDefault="00816B5B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(3.2) (2.3)</w:t>
            </w:r>
          </w:p>
        </w:tc>
        <w:tc>
          <w:tcPr>
            <w:tcW w:w="882" w:type="pct"/>
          </w:tcPr>
          <w:p w14:paraId="46C39D05" w14:textId="77777777" w:rsidR="00C22B38" w:rsidRDefault="00A27514" w:rsidP="00A275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Every child discussed by someone</w:t>
            </w:r>
          </w:p>
          <w:p w14:paraId="1F358CBC" w14:textId="77777777" w:rsidR="00C22B38" w:rsidRDefault="00A27514" w:rsidP="00C22B3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Equity – keep focus on targeted children and young people on CP register, ASN, LAC, Young Carers</w:t>
            </w:r>
          </w:p>
          <w:p w14:paraId="7E983915" w14:textId="3592F99C" w:rsidR="00C22B38" w:rsidRDefault="00A27514" w:rsidP="00A275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Improve Attendance</w:t>
            </w:r>
            <w:r w:rsidR="00B52081">
              <w:rPr>
                <w:rFonts w:ascii="Arial" w:hAnsi="Arial" w:cs="Arial"/>
                <w:sz w:val="20"/>
                <w:szCs w:val="20"/>
              </w:rPr>
              <w:t xml:space="preserve"> by ??%</w:t>
            </w:r>
          </w:p>
          <w:p w14:paraId="6376725D" w14:textId="30D2E938" w:rsidR="00A27514" w:rsidRPr="00C22B38" w:rsidRDefault="00A27514" w:rsidP="00A275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2B38">
              <w:rPr>
                <w:rFonts w:ascii="Arial" w:hAnsi="Arial" w:cs="Arial"/>
                <w:sz w:val="20"/>
                <w:szCs w:val="20"/>
              </w:rPr>
              <w:t>Improve Outcomes for targeted groups - LAC, ASN, Young Carers, SIMD1&amp;2, CP register….., including attendance and exclusions</w:t>
            </w:r>
          </w:p>
        </w:tc>
        <w:tc>
          <w:tcPr>
            <w:tcW w:w="362" w:type="pct"/>
          </w:tcPr>
          <w:p w14:paraId="520E5857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</w:tcPr>
          <w:p w14:paraId="0B5FD36E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63EE3EC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14:paraId="65BAC114" w14:textId="77777777" w:rsidR="00007335" w:rsidRPr="004C16EA" w:rsidRDefault="00007335" w:rsidP="008825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488E0F48" w14:textId="77777777" w:rsidR="00007335" w:rsidRPr="004C16EA" w:rsidRDefault="00007335" w:rsidP="008825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8CB255" w14:textId="77777777" w:rsidR="00007335" w:rsidRDefault="00007335" w:rsidP="00DA7574"/>
    <w:p w14:paraId="4EF13395" w14:textId="77777777" w:rsidR="000570CA" w:rsidRDefault="000570C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EBB517E" w14:textId="40927DCF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lastRenderedPageBreak/>
        <w:t>Curriculum, Pedagogy and Performance Strategy and Action Group – On-going Priorities</w:t>
      </w:r>
    </w:p>
    <w:p w14:paraId="71D0845F" w14:textId="77777777" w:rsidR="002B4645" w:rsidRPr="00DA7574" w:rsidRDefault="002B4645" w:rsidP="000570CA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77319DC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agree implementation and monitoring periods for use of the BGE tracking tool and SEEMiS Progress and Achievement Module for all city schools</w:t>
      </w:r>
    </w:p>
    <w:p w14:paraId="45B3F5BF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E77EA6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finalise curriculum rationale, design and progression work already started in key areas including literacy and numeracy</w:t>
      </w:r>
    </w:p>
    <w:p w14:paraId="02F26D1E" w14:textId="77777777" w:rsidR="002B4645" w:rsidRPr="00DA7574" w:rsidRDefault="002B4645" w:rsidP="002B464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2950BDF7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support all schools to have an agreed curriculum rationale which drives improvement, including a BGE that transitions into the SP to ensure progression pathways for all learners and raises attainment</w:t>
      </w:r>
    </w:p>
    <w:p w14:paraId="19946AB4" w14:textId="77777777" w:rsidR="002B4645" w:rsidRPr="00DA7574" w:rsidRDefault="002B4645" w:rsidP="002B464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6DCE27D2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finalise revised policy and arrangements re reporting to parents</w:t>
      </w:r>
    </w:p>
    <w:p w14:paraId="18DA987B" w14:textId="77777777" w:rsidR="002B4645" w:rsidRPr="00DA7574" w:rsidRDefault="002B4645" w:rsidP="002B464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15185D76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finalise revised learning and teaching policy </w:t>
      </w:r>
    </w:p>
    <w:p w14:paraId="62C622E0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34CF41" w14:textId="77777777" w:rsidR="002B4645" w:rsidRPr="00DA7574" w:rsidRDefault="002B4645" w:rsidP="002B464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strategically plan and deliver CLPL on evidence-based approaches to raising attainment to both primary and secondary sectors</w:t>
      </w:r>
    </w:p>
    <w:p w14:paraId="12FFCF53" w14:textId="77777777" w:rsidR="002B4645" w:rsidRPr="00DA7574" w:rsidRDefault="002B4645" w:rsidP="002B464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7AC16D67" w14:textId="77777777" w:rsidR="002B4645" w:rsidRPr="00DA7574" w:rsidRDefault="002B4645" w:rsidP="002B4645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</w:p>
    <w:p w14:paraId="698F08D8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F532D32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4F9B221" w14:textId="77777777" w:rsidR="002B4645" w:rsidRPr="00DA7574" w:rsidRDefault="002B4645" w:rsidP="002B4645">
      <w:pPr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br w:type="page"/>
      </w:r>
    </w:p>
    <w:p w14:paraId="1A336319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A7574">
        <w:rPr>
          <w:rFonts w:ascii="Arial" w:hAnsi="Arial" w:cs="Arial"/>
          <w:b/>
          <w:sz w:val="21"/>
          <w:szCs w:val="21"/>
        </w:rPr>
        <w:lastRenderedPageBreak/>
        <w:t xml:space="preserve">Scottish Attainment Challenge – Dundee </w:t>
      </w:r>
    </w:p>
    <w:p w14:paraId="406D7805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A22BA9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Recommendations from ILA inspection:</w:t>
      </w:r>
    </w:p>
    <w:p w14:paraId="6271D60C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2D7A87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simplify the landscape  - what’s working- see 2019-20 bid</w:t>
      </w:r>
    </w:p>
    <w:p w14:paraId="1FC263AA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review the matrix and it’s use re informing improvement</w:t>
      </w:r>
    </w:p>
    <w:p w14:paraId="7F762355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use evidence base to plan exit strategy from SAC funding</w:t>
      </w:r>
    </w:p>
    <w:p w14:paraId="72366505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further embed SAC within the secondary sector</w:t>
      </w:r>
    </w:p>
    <w:p w14:paraId="2BCE5572" w14:textId="77777777" w:rsidR="002B4645" w:rsidRPr="00DA7574" w:rsidRDefault="002B4645" w:rsidP="002B464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increase the focus on raising attainment and closing the gap in secondary</w:t>
      </w:r>
    </w:p>
    <w:p w14:paraId="25B0CE28" w14:textId="77777777" w:rsidR="002B4645" w:rsidRPr="00DA7574" w:rsidRDefault="002B4645" w:rsidP="002B4645">
      <w:pPr>
        <w:spacing w:after="0" w:line="240" w:lineRule="auto"/>
        <w:ind w:left="1080"/>
        <w:contextualSpacing/>
        <w:rPr>
          <w:rFonts w:ascii="Arial" w:hAnsi="Arial" w:cs="Arial"/>
          <w:sz w:val="21"/>
          <w:szCs w:val="21"/>
        </w:rPr>
      </w:pPr>
    </w:p>
    <w:p w14:paraId="0AE1A2E9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targeted interventions - PTs Maths/Numeracy – CEO and AA, lead EO</w:t>
      </w:r>
    </w:p>
    <w:p w14:paraId="0D3377F9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roll out school measurement plans – Attainment Advisor</w:t>
      </w:r>
    </w:p>
    <w:p w14:paraId="0A8E4F32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Reinforce the expectations within and the contribution of the School Improvement Framework to raising attainment and closing outcome gaps – including the Chief Education Officer carrying out SQA </w:t>
      </w:r>
      <w:r>
        <w:rPr>
          <w:rFonts w:ascii="Arial" w:hAnsi="Arial" w:cs="Arial"/>
          <w:sz w:val="21"/>
          <w:szCs w:val="21"/>
        </w:rPr>
        <w:t xml:space="preserve">Results </w:t>
      </w:r>
      <w:r w:rsidRPr="00DA7574">
        <w:rPr>
          <w:rFonts w:ascii="Arial" w:hAnsi="Arial" w:cs="Arial"/>
          <w:sz w:val="21"/>
          <w:szCs w:val="21"/>
        </w:rPr>
        <w:t>Reviews in all secondary schools</w:t>
      </w:r>
    </w:p>
    <w:p w14:paraId="1080EC70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Strengthen the synergy between the work of the Attainment Advisor and the Educational Services Management Team</w:t>
      </w:r>
    </w:p>
    <w:p w14:paraId="3CFB2BCD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targeted focus on secondary SQA results e.g. subject departments with a trend of negative value course comparator </w:t>
      </w:r>
    </w:p>
    <w:p w14:paraId="0ACC2A46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focussed and targeted work on HGIOS4 and pupil version of  HGIOS 4 and generic input for all Head Teachers</w:t>
      </w:r>
    </w:p>
    <w:p w14:paraId="557E67E4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re-focus the matrix re Dundee Measures</w:t>
      </w:r>
    </w:p>
    <w:p w14:paraId="6D6472F6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 xml:space="preserve">Prioritise </w:t>
      </w:r>
      <w:r>
        <w:rPr>
          <w:rFonts w:ascii="Arial" w:hAnsi="Arial" w:cs="Arial"/>
          <w:sz w:val="21"/>
          <w:szCs w:val="21"/>
        </w:rPr>
        <w:t xml:space="preserve">support for curriculum </w:t>
      </w:r>
      <w:r w:rsidRPr="00DA7574">
        <w:rPr>
          <w:rFonts w:ascii="Arial" w:hAnsi="Arial" w:cs="Arial"/>
          <w:sz w:val="21"/>
          <w:szCs w:val="21"/>
        </w:rPr>
        <w:t>and moderation</w:t>
      </w:r>
    </w:p>
    <w:p w14:paraId="419B3F1A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targeted support from the Attainment Advisor for schools identified using performance data</w:t>
      </w:r>
    </w:p>
    <w:p w14:paraId="7BD0AC79" w14:textId="77777777" w:rsidR="002B4645" w:rsidRPr="00DA7574" w:rsidRDefault="002B4645" w:rsidP="002B464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DA7574">
        <w:rPr>
          <w:rFonts w:ascii="Arial" w:hAnsi="Arial" w:cs="Arial"/>
          <w:sz w:val="21"/>
          <w:szCs w:val="21"/>
        </w:rPr>
        <w:t>Review cross-sector and subject / curriculum networks</w:t>
      </w:r>
    </w:p>
    <w:p w14:paraId="0F758A9B" w14:textId="77777777" w:rsidR="002B4645" w:rsidRPr="00DA7574" w:rsidRDefault="002B4645" w:rsidP="002B4645">
      <w:pPr>
        <w:spacing w:after="0" w:line="240" w:lineRule="auto"/>
        <w:ind w:left="360"/>
        <w:contextualSpacing/>
        <w:rPr>
          <w:rFonts w:ascii="Arial" w:hAnsi="Arial" w:cs="Arial"/>
          <w:sz w:val="21"/>
          <w:szCs w:val="21"/>
        </w:rPr>
      </w:pPr>
    </w:p>
    <w:p w14:paraId="2B531E79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EC4CA58" w14:textId="77777777" w:rsidR="002B4645" w:rsidRPr="00DA7574" w:rsidRDefault="002B4645" w:rsidP="002B464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342F51F" w14:textId="3CBCECA7" w:rsidR="00DA7574" w:rsidRPr="00DA7574" w:rsidRDefault="00DA7574" w:rsidP="00DA7574"/>
    <w:sectPr w:rsidR="00DA7574" w:rsidRPr="00DA7574" w:rsidSect="00367F4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DDAA" w14:textId="77777777" w:rsidR="007B0337" w:rsidRDefault="007B0337" w:rsidP="00DA7574">
      <w:pPr>
        <w:spacing w:after="0" w:line="240" w:lineRule="auto"/>
      </w:pPr>
      <w:r>
        <w:separator/>
      </w:r>
    </w:p>
  </w:endnote>
  <w:endnote w:type="continuationSeparator" w:id="0">
    <w:p w14:paraId="2394026C" w14:textId="77777777" w:rsidR="007B0337" w:rsidRDefault="007B0337" w:rsidP="00D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8852" w14:textId="77777777" w:rsidR="00DA7574" w:rsidRDefault="00DA7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2BBB" w14:textId="77777777" w:rsidR="00DA7574" w:rsidRDefault="00DA7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6F21" w14:textId="77777777" w:rsidR="00DA7574" w:rsidRDefault="00DA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EAA6" w14:textId="77777777" w:rsidR="007B0337" w:rsidRDefault="007B0337" w:rsidP="00DA7574">
      <w:pPr>
        <w:spacing w:after="0" w:line="240" w:lineRule="auto"/>
      </w:pPr>
      <w:r>
        <w:separator/>
      </w:r>
    </w:p>
  </w:footnote>
  <w:footnote w:type="continuationSeparator" w:id="0">
    <w:p w14:paraId="47799CC5" w14:textId="77777777" w:rsidR="007B0337" w:rsidRDefault="007B0337" w:rsidP="00D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402" w14:textId="77777777" w:rsidR="00DA7574" w:rsidRDefault="00DA7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CCDF" w14:textId="77777777" w:rsidR="00DA7574" w:rsidRDefault="00DA7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E643" w14:textId="77777777" w:rsidR="00DA7574" w:rsidRDefault="00DA7574" w:rsidP="00DA757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39202F" wp14:editId="0A94A643">
          <wp:extent cx="4000500" cy="1000125"/>
          <wp:effectExtent l="0" t="0" r="0" b="9525"/>
          <wp:docPr id="2" name="Picture 2" descr="C:\Users\morag.mill\AppData\Local\Microsoft\Windows\Temporary Internet Files\Content.IE5\80NUEHSL\Children and Families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orag.mill\AppData\Local\Microsoft\Windows\Temporary Internet Files\Content.IE5\80NUEHSL\Children and Famili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A23"/>
    <w:multiLevelType w:val="hybridMultilevel"/>
    <w:tmpl w:val="6428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49EF"/>
    <w:multiLevelType w:val="hybridMultilevel"/>
    <w:tmpl w:val="367EC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5FAE"/>
    <w:multiLevelType w:val="hybridMultilevel"/>
    <w:tmpl w:val="B0C29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476D"/>
    <w:multiLevelType w:val="hybridMultilevel"/>
    <w:tmpl w:val="D7848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0425"/>
    <w:multiLevelType w:val="hybridMultilevel"/>
    <w:tmpl w:val="3A94A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920A1"/>
    <w:multiLevelType w:val="hybridMultilevel"/>
    <w:tmpl w:val="DCC4D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E4133"/>
    <w:multiLevelType w:val="hybridMultilevel"/>
    <w:tmpl w:val="2B50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948E4"/>
    <w:multiLevelType w:val="hybridMultilevel"/>
    <w:tmpl w:val="4BE60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97AB6"/>
    <w:multiLevelType w:val="hybridMultilevel"/>
    <w:tmpl w:val="BF825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3225"/>
    <w:multiLevelType w:val="hybridMultilevel"/>
    <w:tmpl w:val="E9A4DF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A5FEF"/>
    <w:multiLevelType w:val="hybridMultilevel"/>
    <w:tmpl w:val="20F84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360D5"/>
    <w:multiLevelType w:val="hybridMultilevel"/>
    <w:tmpl w:val="215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269F"/>
    <w:multiLevelType w:val="hybridMultilevel"/>
    <w:tmpl w:val="BBE4A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52D4"/>
    <w:multiLevelType w:val="hybridMultilevel"/>
    <w:tmpl w:val="8D0E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C3500"/>
    <w:multiLevelType w:val="hybridMultilevel"/>
    <w:tmpl w:val="830A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E23A2"/>
    <w:multiLevelType w:val="hybridMultilevel"/>
    <w:tmpl w:val="4FE43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25774"/>
    <w:multiLevelType w:val="hybridMultilevel"/>
    <w:tmpl w:val="66B81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A76D48"/>
    <w:multiLevelType w:val="hybridMultilevel"/>
    <w:tmpl w:val="860A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E6"/>
    <w:rsid w:val="00007335"/>
    <w:rsid w:val="00026BCE"/>
    <w:rsid w:val="000570CA"/>
    <w:rsid w:val="000642BC"/>
    <w:rsid w:val="00082400"/>
    <w:rsid w:val="00096451"/>
    <w:rsid w:val="001E1946"/>
    <w:rsid w:val="002030E0"/>
    <w:rsid w:val="002B4645"/>
    <w:rsid w:val="002F17D1"/>
    <w:rsid w:val="00306F8A"/>
    <w:rsid w:val="00322980"/>
    <w:rsid w:val="00327E74"/>
    <w:rsid w:val="00367F46"/>
    <w:rsid w:val="00371563"/>
    <w:rsid w:val="0037340F"/>
    <w:rsid w:val="003A7B4A"/>
    <w:rsid w:val="003E0765"/>
    <w:rsid w:val="004015A4"/>
    <w:rsid w:val="0044077B"/>
    <w:rsid w:val="0047128C"/>
    <w:rsid w:val="00474BA5"/>
    <w:rsid w:val="00493182"/>
    <w:rsid w:val="004A3BA6"/>
    <w:rsid w:val="004C03F3"/>
    <w:rsid w:val="004D0C38"/>
    <w:rsid w:val="004D1DB5"/>
    <w:rsid w:val="005963F0"/>
    <w:rsid w:val="006D0807"/>
    <w:rsid w:val="006D3250"/>
    <w:rsid w:val="006F618C"/>
    <w:rsid w:val="007051B9"/>
    <w:rsid w:val="00720BAF"/>
    <w:rsid w:val="007325B6"/>
    <w:rsid w:val="00782051"/>
    <w:rsid w:val="007905BF"/>
    <w:rsid w:val="007B0337"/>
    <w:rsid w:val="00816B5B"/>
    <w:rsid w:val="00840DC6"/>
    <w:rsid w:val="008D74CB"/>
    <w:rsid w:val="00904D63"/>
    <w:rsid w:val="009A1A6A"/>
    <w:rsid w:val="009E6A8F"/>
    <w:rsid w:val="009F18BE"/>
    <w:rsid w:val="00A20AC8"/>
    <w:rsid w:val="00A27514"/>
    <w:rsid w:val="00A4199A"/>
    <w:rsid w:val="00AA3E3A"/>
    <w:rsid w:val="00AF23B9"/>
    <w:rsid w:val="00B15888"/>
    <w:rsid w:val="00B269E6"/>
    <w:rsid w:val="00B52081"/>
    <w:rsid w:val="00B572B1"/>
    <w:rsid w:val="00C22B38"/>
    <w:rsid w:val="00C44DA6"/>
    <w:rsid w:val="00CA7C52"/>
    <w:rsid w:val="00CD5DBB"/>
    <w:rsid w:val="00CE19A0"/>
    <w:rsid w:val="00CE5D2B"/>
    <w:rsid w:val="00D8267D"/>
    <w:rsid w:val="00DA7574"/>
    <w:rsid w:val="00E3198E"/>
    <w:rsid w:val="00E6745F"/>
    <w:rsid w:val="00EA79A3"/>
    <w:rsid w:val="00F16D6A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BBF2"/>
  <w15:chartTrackingRefBased/>
  <w15:docId w15:val="{BA8E095A-83E5-401D-8558-362E54C0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74"/>
  </w:style>
  <w:style w:type="paragraph" w:styleId="Footer">
    <w:name w:val="footer"/>
    <w:basedOn w:val="Normal"/>
    <w:link w:val="FooterChar"/>
    <w:uiPriority w:val="99"/>
    <w:unhideWhenUsed/>
    <w:rsid w:val="00DA7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74"/>
  </w:style>
  <w:style w:type="character" w:styleId="CommentReference">
    <w:name w:val="annotation reference"/>
    <w:basedOn w:val="DefaultParagraphFont"/>
    <w:uiPriority w:val="99"/>
    <w:semiHidden/>
    <w:unhideWhenUsed/>
    <w:rsid w:val="002B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03A6-0E98-448C-B57C-D0021DE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1500</Words>
  <Characters>8550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Donachie</dc:creator>
  <cp:keywords/>
  <dc:description/>
  <cp:lastModifiedBy>pmcheghall999</cp:lastModifiedBy>
  <cp:revision>2</cp:revision>
  <cp:lastPrinted>2019-05-16T07:55:00Z</cp:lastPrinted>
  <dcterms:created xsi:type="dcterms:W3CDTF">2019-05-16T07:56:00Z</dcterms:created>
  <dcterms:modified xsi:type="dcterms:W3CDTF">2019-05-16T07:56:00Z</dcterms:modified>
</cp:coreProperties>
</file>